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隶书"/>
          <w:w w:val="80"/>
          <w:sz w:val="72"/>
          <w:szCs w:val="56"/>
        </w:rPr>
      </w:pPr>
    </w:p>
    <w:p>
      <w:pPr>
        <w:pStyle w:val="12"/>
        <w:jc w:val="left"/>
        <w:rPr>
          <w:rFonts w:eastAsia="隶书"/>
          <w:w w:val="80"/>
          <w:sz w:val="72"/>
          <w:szCs w:val="56"/>
        </w:rPr>
      </w:pPr>
      <w:r>
        <w:rPr>
          <w:rFonts w:hint="eastAsia"/>
        </w:rPr>
        <w:drawing>
          <wp:inline distT="0" distB="0" distL="114300" distR="114300">
            <wp:extent cx="3667760" cy="794385"/>
            <wp:effectExtent l="0" t="0" r="8890" b="5715"/>
            <wp:docPr id="3" name="图片 1" descr="校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校徽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jc w:val="both"/>
        <w:rPr>
          <w:rFonts w:ascii="黑体" w:hAnsi="黑体" w:eastAsia="黑体"/>
          <w:b/>
          <w:bCs/>
          <w:sz w:val="56"/>
          <w:szCs w:val="52"/>
        </w:rPr>
      </w:pPr>
      <w:r>
        <w:rPr>
          <w:rFonts w:hint="eastAsia" w:ascii="黑体" w:hAnsi="黑体" w:eastAsia="黑体"/>
          <w:b/>
          <w:bCs/>
          <w:sz w:val="56"/>
          <w:szCs w:val="52"/>
        </w:rPr>
        <w:t>智慧财务综合服务平台</w:t>
      </w:r>
    </w:p>
    <w:p>
      <w:pPr>
        <w:pStyle w:val="5"/>
        <w:spacing w:beforeLines="50" w:beforeAutospacing="0" w:after="0" w:afterAutospacing="0"/>
        <w:jc w:val="center"/>
        <w:rPr>
          <w:rFonts w:ascii="黑体" w:hAnsi="黑体" w:eastAsia="黑体"/>
          <w:b/>
          <w:color w:val="333333"/>
          <w:sz w:val="36"/>
          <w:szCs w:val="36"/>
        </w:rPr>
      </w:pPr>
      <w:r>
        <w:rPr>
          <w:rFonts w:hint="eastAsia" w:ascii="黑体" w:hAnsi="黑体" w:eastAsia="黑体"/>
          <w:b/>
          <w:color w:val="333333"/>
          <w:sz w:val="36"/>
          <w:szCs w:val="36"/>
        </w:rPr>
        <w:t>—个人收入综合管理系统使用说明书</w:t>
      </w:r>
    </w:p>
    <w:p>
      <w:pPr>
        <w:pStyle w:val="12"/>
        <w:spacing w:beforeLines="50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（试行）</w:t>
      </w:r>
    </w:p>
    <w:p>
      <w:pPr>
        <w:pStyle w:val="12"/>
      </w:pPr>
    </w:p>
    <w:p>
      <w:pPr>
        <w:pStyle w:val="12"/>
      </w:pPr>
    </w:p>
    <w:p>
      <w:pPr>
        <w:pStyle w:val="12"/>
        <w:rPr>
          <w:rFonts w:ascii="方正小标宋简体" w:hAnsi="黑体" w:eastAsia="方正小标宋简体"/>
          <w:color w:val="000000"/>
          <w:spacing w:val="10"/>
          <w:sz w:val="44"/>
          <w:szCs w:val="36"/>
        </w:rPr>
      </w:pPr>
    </w:p>
    <w:p>
      <w:pPr>
        <w:pStyle w:val="12"/>
        <w:rPr>
          <w:rFonts w:ascii="方正小标宋简体" w:hAnsi="黑体" w:eastAsia="方正小标宋简体"/>
          <w:color w:val="000000"/>
          <w:spacing w:val="10"/>
          <w:sz w:val="44"/>
          <w:szCs w:val="36"/>
        </w:rPr>
      </w:pPr>
    </w:p>
    <w:p>
      <w:pPr>
        <w:pStyle w:val="12"/>
        <w:rPr>
          <w:rFonts w:ascii="方正小标宋简体" w:hAnsi="黑体" w:eastAsia="方正小标宋简体"/>
          <w:color w:val="000000"/>
          <w:spacing w:val="10"/>
          <w:sz w:val="44"/>
          <w:szCs w:val="36"/>
        </w:rPr>
      </w:pPr>
    </w:p>
    <w:p>
      <w:pPr>
        <w:pStyle w:val="12"/>
        <w:rPr>
          <w:rFonts w:ascii="方正小标宋简体" w:hAnsi="黑体" w:eastAsia="方正小标宋简体"/>
          <w:color w:val="000000"/>
          <w:spacing w:val="10"/>
          <w:sz w:val="44"/>
          <w:szCs w:val="36"/>
        </w:rPr>
      </w:pPr>
    </w:p>
    <w:p>
      <w:pPr>
        <w:pStyle w:val="12"/>
        <w:rPr>
          <w:rFonts w:ascii="方正小标宋简体" w:hAnsi="黑体" w:eastAsia="方正小标宋简体"/>
          <w:color w:val="000000"/>
          <w:spacing w:val="10"/>
          <w:sz w:val="44"/>
          <w:szCs w:val="36"/>
        </w:rPr>
      </w:pPr>
    </w:p>
    <w:p>
      <w:pPr>
        <w:pStyle w:val="12"/>
        <w:rPr>
          <w:rFonts w:ascii="方正小标宋简体" w:hAnsi="黑体" w:eastAsia="方正小标宋简体"/>
          <w:color w:val="000000"/>
          <w:spacing w:val="10"/>
          <w:sz w:val="44"/>
          <w:szCs w:val="36"/>
        </w:rPr>
      </w:pPr>
    </w:p>
    <w:p>
      <w:pPr>
        <w:pStyle w:val="12"/>
        <w:rPr>
          <w:rFonts w:ascii="方正小标宋简体" w:hAnsi="黑体" w:eastAsia="方正小标宋简体"/>
          <w:color w:val="000000"/>
          <w:spacing w:val="10"/>
          <w:sz w:val="44"/>
          <w:szCs w:val="36"/>
        </w:rPr>
      </w:pPr>
    </w:p>
    <w:p>
      <w:pPr>
        <w:pStyle w:val="12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财务处</w:t>
      </w:r>
    </w:p>
    <w:p>
      <w:pPr>
        <w:pStyle w:val="12"/>
        <w:rPr>
          <w:rFonts w:ascii="黑体" w:hAnsi="黑体" w:eastAsia="黑体"/>
          <w:b/>
          <w:bCs/>
          <w:sz w:val="36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40" w:bottom="1440" w:left="1440" w:header="851" w:footer="51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b/>
          <w:bCs/>
          <w:sz w:val="36"/>
          <w:szCs w:val="32"/>
        </w:rPr>
        <w:t>二〇一七年三月二十八日</w:t>
      </w:r>
    </w:p>
    <w:p>
      <w:pPr>
        <w:pStyle w:val="5"/>
        <w:spacing w:before="0" w:beforeAutospacing="0" w:after="0" w:afterAutospacing="0"/>
        <w:jc w:val="center"/>
        <w:rPr>
          <w:b/>
          <w:color w:val="333333"/>
          <w:sz w:val="52"/>
          <w:szCs w:val="52"/>
        </w:rPr>
      </w:pPr>
      <w:r>
        <w:rPr>
          <w:rFonts w:hint="eastAsia"/>
          <w:b/>
          <w:color w:val="333333"/>
          <w:sz w:val="52"/>
          <w:szCs w:val="52"/>
        </w:rPr>
        <w:t>个人收入综合管理系统使用说明书</w:t>
      </w:r>
    </w:p>
    <w:p>
      <w:pPr>
        <w:pStyle w:val="5"/>
        <w:spacing w:before="0" w:beforeAutospacing="0" w:after="0" w:afterAutospacing="0" w:line="360" w:lineRule="exact"/>
        <w:jc w:val="center"/>
        <w:rPr>
          <w:b/>
          <w:color w:val="333333"/>
          <w:sz w:val="30"/>
          <w:szCs w:val="30"/>
        </w:rPr>
      </w:pPr>
      <w:r>
        <w:rPr>
          <w:rFonts w:hint="eastAsia"/>
          <w:b/>
          <w:color w:val="333333"/>
          <w:sz w:val="30"/>
          <w:szCs w:val="30"/>
        </w:rPr>
        <w:t>(报账人员用)</w:t>
      </w:r>
    </w:p>
    <w:p>
      <w:pPr>
        <w:pStyle w:val="5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　　一、</w:t>
      </w:r>
      <w:r>
        <w:rPr>
          <w:rFonts w:hint="eastAsia"/>
          <w:color w:val="333333"/>
          <w:sz w:val="32"/>
          <w:szCs w:val="32"/>
        </w:rPr>
        <w:t>用户登录</w:t>
      </w:r>
    </w:p>
    <w:p>
      <w:pPr>
        <w:pStyle w:val="5"/>
        <w:spacing w:before="0" w:beforeAutospacing="0" w:after="0" w:afterAutospacing="0"/>
        <w:ind w:firstLine="640" w:firstLineChars="20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方法1、通过财务网“教职工个人查询”，进入“个人收入查询”后点“个人收入申报”直接登录“湖南科技大学个人</w:t>
      </w:r>
      <w:bookmarkStart w:id="0" w:name="_GoBack"/>
      <w:bookmarkEnd w:id="0"/>
      <w:r>
        <w:rPr>
          <w:rFonts w:hint="eastAsia"/>
          <w:color w:val="333333"/>
          <w:sz w:val="32"/>
          <w:szCs w:val="32"/>
        </w:rPr>
        <w:t>收入综合</w:t>
      </w:r>
      <w:r>
        <w:rPr>
          <w:color w:val="333333"/>
          <w:sz w:val="32"/>
          <w:szCs w:val="32"/>
        </w:rPr>
        <w:t>管理系统</w:t>
      </w:r>
      <w:r>
        <w:rPr>
          <w:rFonts w:hint="eastAsia"/>
          <w:color w:val="333333"/>
          <w:sz w:val="32"/>
          <w:szCs w:val="32"/>
        </w:rPr>
        <w:t>”；</w:t>
      </w:r>
    </w:p>
    <w:p>
      <w:pPr>
        <w:pStyle w:val="5"/>
        <w:spacing w:before="0" w:beforeAutospacing="0" w:after="0" w:afterAutospacing="0"/>
        <w:ind w:firstLine="640" w:firstLineChars="200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方法2、在浏览器中输入“</w:t>
      </w:r>
      <w:r>
        <w:rPr>
          <w:color w:val="333333"/>
          <w:sz w:val="32"/>
          <w:szCs w:val="32"/>
        </w:rPr>
        <w:t>http://cwc.hnust.cn/grsr/</w:t>
      </w:r>
      <w:r>
        <w:rPr>
          <w:rFonts w:hint="eastAsia"/>
          <w:color w:val="333333"/>
          <w:sz w:val="32"/>
          <w:szCs w:val="32"/>
        </w:rPr>
        <w:t>”登录；用户名为个人员工号，密码为个人收入查询密码；</w:t>
      </w:r>
    </w:p>
    <w:p>
      <w:pPr>
        <w:pStyle w:val="5"/>
        <w:spacing w:before="0" w:beforeAutospacing="0" w:after="0" w:afterAutospacing="0" w:line="432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　　二、</w:t>
      </w:r>
      <w:r>
        <w:rPr>
          <w:rFonts w:hint="eastAsia"/>
          <w:color w:val="333333"/>
          <w:sz w:val="32"/>
          <w:szCs w:val="32"/>
        </w:rPr>
        <w:t>流程办理</w:t>
      </w:r>
    </w:p>
    <w:p>
      <w:pPr>
        <w:ind w:firstLine="640" w:firstLineChars="200"/>
        <w:rPr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登录</w:t>
      </w:r>
      <w:r>
        <w:rPr>
          <w:rFonts w:hint="eastAsia"/>
          <w:color w:val="333333"/>
          <w:sz w:val="32"/>
          <w:szCs w:val="32"/>
        </w:rPr>
        <w:t>“湖南科技大学个人收入综合</w:t>
      </w:r>
      <w:r>
        <w:rPr>
          <w:color w:val="333333"/>
          <w:sz w:val="32"/>
          <w:szCs w:val="32"/>
        </w:rPr>
        <w:t>管理系统</w:t>
      </w:r>
      <w:r>
        <w:rPr>
          <w:rFonts w:hint="eastAsia"/>
          <w:color w:val="333333"/>
          <w:sz w:val="32"/>
          <w:szCs w:val="32"/>
        </w:rPr>
        <w:t>”后，进入系统主界面，如图1示：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360670" cy="28067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8451" cy="281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图1：</w:t>
      </w:r>
      <w:r>
        <w:rPr>
          <w:rFonts w:hint="eastAsia"/>
          <w:color w:val="333333"/>
          <w:sz w:val="24"/>
          <w:szCs w:val="24"/>
        </w:rPr>
        <w:t>湖南科技大学个人收入综合</w:t>
      </w:r>
      <w:r>
        <w:rPr>
          <w:color w:val="333333"/>
          <w:sz w:val="24"/>
          <w:szCs w:val="24"/>
        </w:rPr>
        <w:t>管理系统</w:t>
      </w:r>
      <w:r>
        <w:rPr>
          <w:rFonts w:hint="eastAsia"/>
          <w:color w:val="333333"/>
          <w:sz w:val="24"/>
          <w:szCs w:val="24"/>
        </w:rPr>
        <w:t>主界面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这时请按如下步骤进行申报发放表的录入：</w:t>
      </w:r>
    </w:p>
    <w:p>
      <w:pPr>
        <w:ind w:firstLine="640" w:firstLineChars="200"/>
        <w:jc w:val="left"/>
        <w:rPr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步骤1、在主界面左边“导航栏”点“科研奖励查询”，可以查看分年的</w:t>
      </w:r>
      <w:r>
        <w:rPr>
          <w:rFonts w:hint="eastAsia"/>
          <w:color w:val="333333"/>
          <w:sz w:val="32"/>
          <w:szCs w:val="32"/>
        </w:rPr>
        <w:t>学校科研项目立项和绩效奖励情况，按默认年份就可以。结果如图2示：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273040" cy="2710815"/>
            <wp:effectExtent l="19050" t="0" r="342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图2：科研立项奖励和绩效奖励查询界面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步骤2、在主界面左边“导航栏”点“发放表录入”，进入发放表录入的经费项目设定，务请按如下规则设定：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发放项目请选择“校科研奖励”，这个是用于说明项目来源的，明确发放的是学校科研立项奖励和绩效奖励；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发放单位请社科奖励选择“社科处”，自科奖励选择“科技处”，这个是明确经费归口管理部门的；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发放类别请选择“科研奖励”，这个是明确经费来源主体的，千万不能错；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发放日期系统选定；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发放说明可适当说明；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结算方式请选择“工行批量代发”（如确实有非工行的，需把这部分非工行数据单独另做发放表）；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经费项目请选择列支的项目；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选定后结果如图3示：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267960" cy="2814320"/>
            <wp:effectExtent l="19050" t="0" r="845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图3：发放表录入，经费项目设定</w:t>
      </w:r>
    </w:p>
    <w:p>
      <w:pPr>
        <w:ind w:firstLine="643" w:firstLineChars="200"/>
        <w:jc w:val="left"/>
        <w:rPr>
          <w:rFonts w:ascii="宋体" w:hAnsi="宋体" w:eastAsia="宋体" w:cs="宋体"/>
          <w:b/>
          <w:color w:val="333333"/>
          <w:kern w:val="0"/>
          <w:sz w:val="32"/>
          <w:szCs w:val="32"/>
          <w:u w:val="wave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u w:val="wave"/>
        </w:rPr>
        <w:t>操作要点：该步骤需确定开支经费信息，发放项目、发放单位、发放类别千万不能错，请认真点选。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步骤3、编制发放表，请分按人员类型规则编制个人收入发放表，如图4示：</w:t>
      </w:r>
    </w:p>
    <w:p>
      <w:pPr>
        <w:jc w:val="left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drawing>
          <wp:inline distT="0" distB="0" distL="0" distR="0">
            <wp:extent cx="5261610" cy="32416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图4：人员类型选择操作界面</w:t>
      </w:r>
    </w:p>
    <w:p>
      <w:pPr>
        <w:ind w:firstLine="643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给在校职工发放收入时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，请点选“添加现有人员”，进入发放明细表编制界面，如图5示：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271135" cy="2987675"/>
            <wp:effectExtent l="19050" t="0" r="5331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图5：在校职工选择界面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260975" cy="297688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       图6：查询发放对象界面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双击发放人员，或者勾选发放人员再点击“加入选中的人员”后，可以进行发放金额的设定，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u w:val="wave"/>
        </w:rPr>
        <w:t>特别注意在校职工当月发放金额为应发金额，发放金额会与下月工资合并计税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，人员类型需选“校内职工”，结果如图7示：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265420" cy="295656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图7：选定在校职工发放对象界面</w:t>
      </w:r>
    </w:p>
    <w:p>
      <w:pPr>
        <w:ind w:firstLine="643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给在校学生发放收入时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请点选“添加现有人员”，通过“院系”、“学号”、“证件号码”等精确查询发放对象，双击发放人员，或者勾选发放人员再点击“加入选中的人员”后，可以进行发放金额的设定，特别注意发放金额依规定按劳务计税，人员类型需选“学生”；</w:t>
      </w:r>
    </w:p>
    <w:p>
      <w:pPr>
        <w:ind w:firstLine="643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给校外人员发放收入时，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如果是该人员是第一次发放，请在图4界面点选“新增人员”，按要求添加校外人员信息及发放信息，如图8示：</w:t>
      </w:r>
    </w:p>
    <w:p>
      <w:pPr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628640" cy="238633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097" cy="239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图8：校外人员第一次发放添加人员信息界面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完善信息后，新增的该人员会进入职能记忆系统，下次发放只需按“添加现有人员”操作，特别注意发放金额依规定按劳务计税，人员类型需选“校外人员”。</w:t>
      </w:r>
    </w:p>
    <w:p>
      <w:pPr>
        <w:ind w:firstLine="643" w:firstLineChars="200"/>
        <w:jc w:val="left"/>
        <w:rPr>
          <w:rFonts w:ascii="宋体" w:hAnsi="宋体" w:eastAsia="宋体" w:cs="宋体"/>
          <w:b/>
          <w:color w:val="333333"/>
          <w:kern w:val="0"/>
          <w:sz w:val="32"/>
          <w:szCs w:val="32"/>
          <w:u w:val="wave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u w:val="wave"/>
        </w:rPr>
        <w:t>操作要点：科研立项奖励和绩效奖励原则上每月只要发放一次，多次发放可能会加重税负(税法有新规定时按新规定)；发放表须按银行种类（工行和非工行）分别编制，不得在一张发放表中同时出现不同银行的信息。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步骤4、用户修改、删除发放表，按界面操作即可；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步骤5、用户审核发放表，点击“用户审核”就可以完成发放表审核。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步骤6、打印审核后的发放表，审核完成后点“发放表打印”，务请养成先审核后打印的习惯，发放表数据流转到下一流程。打印结果如图9示：</w:t>
      </w:r>
    </w:p>
    <w:p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drawing>
          <wp:inline distT="0" distB="0" distL="0" distR="0">
            <wp:extent cx="5274310" cy="2743200"/>
            <wp:effectExtent l="19050" t="0" r="2047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图9：发放表最终流转纸质式样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步骤7：经费项目负责人签批后交财务处办公室101房（收入管理科）相关会计人员。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步骤8：三个工作日后关注微信通知或者上财务网查询到账信息。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三、重要提示</w:t>
      </w:r>
    </w:p>
    <w:p>
      <w:pPr>
        <w:ind w:firstLine="640" w:firstLineChars="200"/>
        <w:jc w:val="left"/>
        <w:rPr>
          <w:rFonts w:ascii="宋体" w:hAnsi="宋体" w:eastAsia="宋体" w:cs="宋体"/>
          <w:b/>
          <w:color w:val="333333"/>
          <w:kern w:val="0"/>
          <w:sz w:val="32"/>
          <w:szCs w:val="32"/>
          <w:u w:val="wave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1、启用收入综合管理系统既是依法治校的要求，也是学校深入综合改革、简化审批流程的要求，请各位老师注意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u w:val="wave"/>
        </w:rPr>
        <w:t>根据相关税法在校职工当月发放金额会与下月工资合并计税(税法有新规定时按新规定)，非在校职工发放金额按劳务计税，请各位老师理解和支持；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、请各位老师认真熟悉操作办法（简单来说就是“查询经费项目”-“确定开支经费项目”-“确定发放对象及金额”-“审核打印签字”-“交财务收入管理科”），按要求使用系统，学校科研立项和绩效奖励必须先走系统财务才予以发放；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3、意见反馈,请邮箱20164232@QQ.COM留言。</w:t>
      </w: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2567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B61"/>
    <w:rsid w:val="00004361"/>
    <w:rsid w:val="0000674C"/>
    <w:rsid w:val="000246DA"/>
    <w:rsid w:val="000378DF"/>
    <w:rsid w:val="0005398F"/>
    <w:rsid w:val="000820C7"/>
    <w:rsid w:val="000830D6"/>
    <w:rsid w:val="00090FC5"/>
    <w:rsid w:val="00091648"/>
    <w:rsid w:val="00097394"/>
    <w:rsid w:val="000A6765"/>
    <w:rsid w:val="000A7CD2"/>
    <w:rsid w:val="000D67D1"/>
    <w:rsid w:val="000F0792"/>
    <w:rsid w:val="000F72E3"/>
    <w:rsid w:val="00147080"/>
    <w:rsid w:val="00153E65"/>
    <w:rsid w:val="001609C5"/>
    <w:rsid w:val="00172601"/>
    <w:rsid w:val="001B201A"/>
    <w:rsid w:val="001B39D6"/>
    <w:rsid w:val="001D074D"/>
    <w:rsid w:val="00211529"/>
    <w:rsid w:val="0021603B"/>
    <w:rsid w:val="0025706A"/>
    <w:rsid w:val="00260631"/>
    <w:rsid w:val="002702A8"/>
    <w:rsid w:val="00274108"/>
    <w:rsid w:val="00281848"/>
    <w:rsid w:val="002906A5"/>
    <w:rsid w:val="002974D6"/>
    <w:rsid w:val="002B3860"/>
    <w:rsid w:val="003106CE"/>
    <w:rsid w:val="00312E32"/>
    <w:rsid w:val="0033517A"/>
    <w:rsid w:val="00347728"/>
    <w:rsid w:val="00386D83"/>
    <w:rsid w:val="003B194F"/>
    <w:rsid w:val="003B6B61"/>
    <w:rsid w:val="003C343D"/>
    <w:rsid w:val="0041103A"/>
    <w:rsid w:val="0042121A"/>
    <w:rsid w:val="0042175C"/>
    <w:rsid w:val="00435312"/>
    <w:rsid w:val="00437A7D"/>
    <w:rsid w:val="00444E1D"/>
    <w:rsid w:val="00445524"/>
    <w:rsid w:val="00447381"/>
    <w:rsid w:val="00450BA4"/>
    <w:rsid w:val="0046284F"/>
    <w:rsid w:val="00463C03"/>
    <w:rsid w:val="004833A1"/>
    <w:rsid w:val="004D127E"/>
    <w:rsid w:val="004D24B2"/>
    <w:rsid w:val="004E5063"/>
    <w:rsid w:val="004F6C03"/>
    <w:rsid w:val="00505071"/>
    <w:rsid w:val="005124CD"/>
    <w:rsid w:val="0053015D"/>
    <w:rsid w:val="005410FE"/>
    <w:rsid w:val="005418CD"/>
    <w:rsid w:val="00584992"/>
    <w:rsid w:val="005876F0"/>
    <w:rsid w:val="005951ED"/>
    <w:rsid w:val="005A069D"/>
    <w:rsid w:val="005B6893"/>
    <w:rsid w:val="005C59B9"/>
    <w:rsid w:val="005C5E88"/>
    <w:rsid w:val="005D30A2"/>
    <w:rsid w:val="005E4CBF"/>
    <w:rsid w:val="005F6D29"/>
    <w:rsid w:val="005F722C"/>
    <w:rsid w:val="00603173"/>
    <w:rsid w:val="0062103B"/>
    <w:rsid w:val="006279D6"/>
    <w:rsid w:val="00666CC3"/>
    <w:rsid w:val="006A3A1F"/>
    <w:rsid w:val="006A50EC"/>
    <w:rsid w:val="006D2FBE"/>
    <w:rsid w:val="006F4F27"/>
    <w:rsid w:val="00710770"/>
    <w:rsid w:val="007424E5"/>
    <w:rsid w:val="0074269D"/>
    <w:rsid w:val="00745BF7"/>
    <w:rsid w:val="00761648"/>
    <w:rsid w:val="00765DED"/>
    <w:rsid w:val="00785CA4"/>
    <w:rsid w:val="007B0068"/>
    <w:rsid w:val="007D0C9A"/>
    <w:rsid w:val="007D3E33"/>
    <w:rsid w:val="007E102C"/>
    <w:rsid w:val="00820775"/>
    <w:rsid w:val="0084778F"/>
    <w:rsid w:val="00857792"/>
    <w:rsid w:val="00874A1D"/>
    <w:rsid w:val="00884BF8"/>
    <w:rsid w:val="008850B5"/>
    <w:rsid w:val="008965F6"/>
    <w:rsid w:val="008B18C2"/>
    <w:rsid w:val="008C47F9"/>
    <w:rsid w:val="008D5486"/>
    <w:rsid w:val="008E0F78"/>
    <w:rsid w:val="008F0671"/>
    <w:rsid w:val="00925975"/>
    <w:rsid w:val="0093189B"/>
    <w:rsid w:val="00936F53"/>
    <w:rsid w:val="009409D0"/>
    <w:rsid w:val="0094338F"/>
    <w:rsid w:val="00946F7C"/>
    <w:rsid w:val="00976F04"/>
    <w:rsid w:val="00977E7F"/>
    <w:rsid w:val="009854B0"/>
    <w:rsid w:val="009C66F0"/>
    <w:rsid w:val="00A03CC9"/>
    <w:rsid w:val="00A2073F"/>
    <w:rsid w:val="00A35A28"/>
    <w:rsid w:val="00A4188D"/>
    <w:rsid w:val="00A504A5"/>
    <w:rsid w:val="00A539D3"/>
    <w:rsid w:val="00A70E25"/>
    <w:rsid w:val="00AC2458"/>
    <w:rsid w:val="00AD6941"/>
    <w:rsid w:val="00AF45FC"/>
    <w:rsid w:val="00B17807"/>
    <w:rsid w:val="00B2461B"/>
    <w:rsid w:val="00B46D99"/>
    <w:rsid w:val="00B62C53"/>
    <w:rsid w:val="00B677DC"/>
    <w:rsid w:val="00B713A9"/>
    <w:rsid w:val="00B8111E"/>
    <w:rsid w:val="00BA15AA"/>
    <w:rsid w:val="00BB18DF"/>
    <w:rsid w:val="00BC099B"/>
    <w:rsid w:val="00C069F4"/>
    <w:rsid w:val="00C31E1C"/>
    <w:rsid w:val="00C55E51"/>
    <w:rsid w:val="00CF1E1B"/>
    <w:rsid w:val="00D05E8A"/>
    <w:rsid w:val="00D12FAF"/>
    <w:rsid w:val="00D22695"/>
    <w:rsid w:val="00D260E4"/>
    <w:rsid w:val="00D3145F"/>
    <w:rsid w:val="00D43831"/>
    <w:rsid w:val="00D44C8C"/>
    <w:rsid w:val="00D45105"/>
    <w:rsid w:val="00D54106"/>
    <w:rsid w:val="00D6757E"/>
    <w:rsid w:val="00D842B5"/>
    <w:rsid w:val="00D84785"/>
    <w:rsid w:val="00D91EE2"/>
    <w:rsid w:val="00DA07C6"/>
    <w:rsid w:val="00DA44F7"/>
    <w:rsid w:val="00DC7B15"/>
    <w:rsid w:val="00DD4B06"/>
    <w:rsid w:val="00DD5904"/>
    <w:rsid w:val="00DF65F7"/>
    <w:rsid w:val="00DF69C4"/>
    <w:rsid w:val="00E308B2"/>
    <w:rsid w:val="00E66701"/>
    <w:rsid w:val="00E71BD4"/>
    <w:rsid w:val="00E86BD6"/>
    <w:rsid w:val="00ED5180"/>
    <w:rsid w:val="00EE0245"/>
    <w:rsid w:val="00EE05EF"/>
    <w:rsid w:val="00F04A30"/>
    <w:rsid w:val="00F05168"/>
    <w:rsid w:val="00F105A2"/>
    <w:rsid w:val="00F15804"/>
    <w:rsid w:val="00F2655A"/>
    <w:rsid w:val="00F54CF5"/>
    <w:rsid w:val="00F56162"/>
    <w:rsid w:val="00F75D3D"/>
    <w:rsid w:val="00F872AA"/>
    <w:rsid w:val="00F92422"/>
    <w:rsid w:val="00F97FA4"/>
    <w:rsid w:val="00FA2DD0"/>
    <w:rsid w:val="00FA6269"/>
    <w:rsid w:val="00FA7539"/>
    <w:rsid w:val="00FB5F25"/>
    <w:rsid w:val="00FE082A"/>
    <w:rsid w:val="00FE7964"/>
    <w:rsid w:val="00FF6B7A"/>
    <w:rsid w:val="50896A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样式1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378</Words>
  <Characters>2160</Characters>
  <Lines>18</Lines>
  <Paragraphs>5</Paragraphs>
  <TotalTime>0</TotalTime>
  <ScaleCrop>false</ScaleCrop>
  <LinksUpToDate>false</LinksUpToDate>
  <CharactersWithSpaces>2533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2017-03-24T09:02:00Z</dcterms:created>
  <dc:creator>PC</dc:creator>
  <cp:lastModifiedBy>lenovo</cp:lastModifiedBy>
  <cp:lastPrinted>2017-03-13T05:58:00Z</cp:lastPrinted>
  <dcterms:modified xsi:type="dcterms:W3CDTF">2017-04-01T03:07:20Z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